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3F" w:rsidRPr="00DA1B3F" w:rsidRDefault="00DA1B3F" w:rsidP="00DA1B3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A1B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Приказ Федеральной службы по техническому и экспортному контролю от 18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 (с изменениями и дополнениями)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В соответствии с </w:t>
      </w:r>
      <w:hyperlink r:id="rId5" w:anchor="block_1904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частью 4 статьи 19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Федерального закона от 27 июля 2006 г. N 152-ФЗ "О персональных данных" (Собрание законодательства Российской Федерации, 2006, N 31, ст. 3451; 2009, N 48, ст. 5716; N 52, ст. 6439; 2010, N 27, ст. 3407; N 31, ст. 4173, ст. 4196; N 49, ст. 6409;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2011, N 23, ст. 3263; N 31, ст. 4701) и </w:t>
      </w:r>
      <w:hyperlink r:id="rId6" w:anchor="block_1000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Положением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о Федеральной службе по техническому и экспортному контролю, утвержденным </w:t>
      </w:r>
      <w:hyperlink r:id="rId7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Указом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 Президента Российской Федерации от 16 августа 2004 г. N 1085 (Собрание законодательства Российской Федерации, 2004, N 34, ст. 3541; 2006, N 49, ст. 5192; 2008, N 43, ст. 4921;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N 47, ст. 5431; 2012, N 7, ст. 818), приказываю:</w:t>
      </w:r>
      <w:proofErr w:type="gramEnd"/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1. Утвердить прилагаемые </w:t>
      </w:r>
      <w:hyperlink r:id="rId8" w:anchor="block_1000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Состав и содержание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организационных и технических мер по обеспечению безопасности персональных данных при их обработке в информационных системах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2. Признать утратившим силу </w:t>
      </w:r>
      <w:hyperlink r:id="rId9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приказ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ФСТЭК России от 5 февраля 2010 г. N 58 "Об утверждении Положения о методах и способах защиты информации в информационных системах персональных данных" (зарегистрирован Минюстом России 19 февраля 2010 г., регистрационный N 16456).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91"/>
        <w:gridCol w:w="3497"/>
      </w:tblGrid>
      <w:tr w:rsidR="00DA1B3F" w:rsidRPr="00DA1B3F" w:rsidTr="00DA1B3F">
        <w:tc>
          <w:tcPr>
            <w:tcW w:w="3300" w:type="pct"/>
            <w:vAlign w:val="bottom"/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Директор Федеральной службы</w:t>
            </w:r>
            <w:r w:rsidRPr="00DA1B3F">
              <w:rPr>
                <w:rFonts w:ascii="Times New Roman" w:eastAsia="Times New Roman" w:hAnsi="Times New Roman" w:cs="Times New Roman"/>
              </w:rPr>
              <w:br/>
              <w:t>по техническому и экспортному контролю</w:t>
            </w:r>
          </w:p>
        </w:tc>
        <w:tc>
          <w:tcPr>
            <w:tcW w:w="1650" w:type="pct"/>
            <w:vAlign w:val="bottom"/>
            <w:hideMark/>
          </w:tcPr>
          <w:p w:rsidR="00DA1B3F" w:rsidRPr="00DA1B3F" w:rsidRDefault="00DA1B3F" w:rsidP="00DA1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В. Селин</w:t>
            </w:r>
          </w:p>
        </w:tc>
      </w:tr>
    </w:tbl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br/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Зарегистрировано в Минюсте РФ 14 мая 2013 г.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  <w:t>Регистрационный N 28375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Состав и содержание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  <w:t>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  <w:t>(утв. </w:t>
      </w:r>
      <w:hyperlink r:id="rId10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приказом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Федеральной службы по техническому и экспортному контролю от 18 февраля 2013 г. N 21)</w:t>
      </w:r>
    </w:p>
    <w:p w:rsidR="00DA1B3F" w:rsidRPr="00DA1B3F" w:rsidRDefault="00DA1B3F" w:rsidP="00DA1B3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С изменениями и дополнениями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от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23 марта 2017 г.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I. Общие положения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1.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Настоящий документ разработан в соответствии с </w:t>
      </w:r>
      <w:hyperlink r:id="rId11" w:anchor="block_1904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частью 4 статьи 19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Федерального закона от 27 июля 2006 г. N 152-ФЗ "О персональных данных" (Собрание законодательства Российской Федерации, 2006, N 31, ст. 3451; 2009, N 48, ст. 5716; N 52, ст. 6439; 2010, N 27, ст. 3407; N 31, ст. 4173, ст. 4196;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N 49, ст. 6409; 2011, N 23, ст. 3263;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N 31, ст. 4701) и устанавливает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(далее - меры по обеспечению безопасности персональных данных) для каждого из уровней защищенности персональных данных, установленных в </w:t>
      </w:r>
      <w:hyperlink r:id="rId12" w:anchor="block_41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Требованиях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к защите персональных данных при их обработке в информационных системах персональных данных, утвержденных </w:t>
      </w:r>
      <w:hyperlink r:id="rId13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постановлением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Правительства Российской Федерации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от 1 ноября 2012 г. N 1119 (Собрание законодательства Российской Федерации, 2012, N 45, ст. 6257).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Меры по обеспечению безопасности персональных данных принимаются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В настоящем документе не рассматриваются вопросы обеспечения безопасности персональных данных, отнесенных в установленном порядке к сведениям, составляющим государственную тайну, а также меры, связанные с применением шифровальных (криптографических) средств защиты информации.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2. Безопасность персональных данных при их обработке в информационной системе персональных данных (далее - информационная система) обеспечивает оператор или лицо, осуществляющее обработку персональных данных по поручению оператора в соответствии с законодательством Российской Федерации.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Для выполнения работ по обеспечению безопасности персональных данных при их обработке в информационной системе в соответствии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с законодательством Российской Федерации могут привлекаться на договорной основе юридическое лицо или индивидуальный предприниматель, имеющие лицензию на деятельность по технической защите конфиденциальной информации.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3.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Меры по обеспечению безопасности персональных данных реализуются в рамках системы защиты персональных данных, создаваемой в соответствии с </w:t>
      </w:r>
      <w:hyperlink r:id="rId14" w:anchor="block_41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Требованиями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к защите персональных данных при их обработке в информационных системах персональных данных, утвержденными </w:t>
      </w:r>
      <w:hyperlink r:id="rId15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постановлением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Правительства Российской Федерации от 1 ноября 2012 г. N 1119, и должны быть направлены на нейтрализацию актуальных угроз безопасности персональных данных.</w:t>
      </w:r>
      <w:proofErr w:type="gramEnd"/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4. Меры по обеспечению безопасности персональных данных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реализуются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в том числе посредством применения в информационной системе средств защиты информации, прошедших в установленном порядке процедуру оценки соответствия, в случаях, когда применение таких средств необходимо для нейтрализации актуальных угроз безопасности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6. 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Указанная оценка проводится не реже одного раза в 3 года.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7.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информации, содержащейся в государственных информационных системах, устанавливаемыми ФСТЭК России в пределах своих полномочий в соответствии с </w:t>
      </w:r>
      <w:hyperlink r:id="rId16" w:anchor="block_165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частью 5 статьи 16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Федерального закона от 27 июля 2006 г. N 149-ФЗ "Об информации, информационных технологиях и о защите информации" (Собрание законодательства Российской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Федерации, 2006, N 31, ст. 3448; 2010, N 31, ст. 4196; 2011, N 15, ст. 2038; N 30, ст. 4600; 2012, N 31, ст. 4328).</w:t>
      </w:r>
      <w:proofErr w:type="gramEnd"/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II. Состав и содержание мер по обеспечению безопасности персональных данных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 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входят: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идентификация и аутентификация субъектов доступа и объектов доступа;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управление доступом субъектов доступа к объектам доступа;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ограничение программной среды;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защита машинных носителей информации, на которых хранятся и (или) обрабатываются персональные данные (далее - машинные носители персональных данных);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регистрация событий безопасности;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антивирусная защита;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обнаружение (предотвращение) вторжений;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контроль (анализ) защищенности персональных данных;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обеспечение целостности информационной системы и персональных данных;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обеспечение доступности персональных данных;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защита среды виртуализации;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защита технических средств;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защита информационной системы, ее средств, систем связи и передачи данных;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 (далее - инциденты), и реагирование на них;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управление конфигурацией информационной системы и системы защиты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Состав и содержание мер по обеспечению безопасности персональных данных, необходимых для обеспечения каждого из уровней защищенности персональных данных, приведены в приложении к настоящему документу.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8.1. </w:t>
      </w:r>
      <w:hyperlink r:id="rId17" w:anchor="block_11001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идентификац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ии и ау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>тентификации субъектов доступа и объектов доступа должны обеспечивать присвоение субъектам и объектам доступа уникального признака (идентификатора), сравнение предъявляемого субъектом (объектом) доступа идентификатора с перечнем присвоенных идентификаторов, а также проверку принадлежности субъекту (объекту) доступа предъявленного им идентификатора (подтверждение подлинности).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8.2. </w:t>
      </w:r>
      <w:hyperlink r:id="rId18" w:anchor="block_11002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 по управлению доступом субъектов доступа к объектам доступа должны обеспечивать управление правами и привилегиями субъектов доступа,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доступа, а также обеспечивать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контроль за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соблюдением этих правил.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8.3. </w:t>
      </w:r>
      <w:hyperlink r:id="rId19" w:anchor="block_11003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ограничению программной среды должны обеспечивать установку и (или) запуск только разрешенного к использованию в информационной системе программного обеспечения или исключать возможность установки и (или) запуска запрещенного к использованию в информационной системе программного обеспечения.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8.4. </w:t>
      </w:r>
      <w:hyperlink r:id="rId20" w:anchor="block_11004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 по защите машинных носителей персональных данных (средств обработки (хранения) персональных данных, съемных машинных носителей персональных данных) должны исключать возможность </w:t>
      </w:r>
      <w:r w:rsidRPr="00DA1B3F">
        <w:rPr>
          <w:rFonts w:ascii="Times New Roman" w:eastAsia="Times New Roman" w:hAnsi="Times New Roman" w:cs="Times New Roman"/>
          <w:bCs/>
          <w:color w:val="000000"/>
        </w:rPr>
        <w:lastRenderedPageBreak/>
        <w:t>несанкционированного доступа к машинным носителям и хранящимся на них персональным данным, а также несанкционированное использование съемных машинных носителей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8.5. </w:t>
      </w:r>
      <w:hyperlink r:id="rId21" w:anchor="block_11005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регистрации событий безопасности должны обеспечивать сбор, запись, хранение и защиту информации о событиях безопасности в информационной системе, а также возможность просмотра и анализа информации о таких событиях и реагирование на них.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8.6. </w:t>
      </w:r>
      <w:hyperlink r:id="rId22" w:anchor="block_11006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антивирусной защите должны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реагирование на обнаружение этих программ и информации.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8.7. </w:t>
      </w:r>
      <w:hyperlink r:id="rId23" w:anchor="block_11007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обнаружению (предотвращению) вторжений должны обеспечивать обнаружение действий в информационной системе, направленных на несанкционированный доступ к информации, специальные воздействия на информационную систему и (или) персональные данные в целях добывания, уничтожения, искажения и блокирования доступа к персональным данным, а также реагирование на эти действия.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8.8. </w:t>
      </w:r>
      <w:hyperlink r:id="rId24" w:anchor="block_11008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контролю (анализу) защищенности персональных данных должны обеспечивать контроль уровня защищенности персональных данных, обрабатываемых в информационной системе,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8.9. </w:t>
      </w:r>
      <w:hyperlink r:id="rId25" w:anchor="block_11009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данных, а также возможность восстановления информационной системы и содержащихся в ней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8.10. </w:t>
      </w:r>
      <w:hyperlink r:id="rId26" w:anchor="block_11010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обеспечению доступности персональных данных должны обеспечивать авторизованный доступ пользователей, имеющих права по доступу, к персональным данным, содержащимся в информационной системе, в штатном режиме функционирования информационной системы.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8.11. </w:t>
      </w:r>
      <w:hyperlink r:id="rId27" w:anchor="block_11011" w:history="1">
        <w:proofErr w:type="gramStart"/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защите среды виртуализации должны исключать несанкционированный доступ к персональным данным, обрабатываемым в виртуальной инфраструктуре, и к компонентам виртуальной инфраструктуры и (или) воздействие на них, в том числе к средствам управления виртуальной инфраструктурой, монитору виртуальных машин (гипервизору), системе хранения данных (включая систему хранения образов виртуальной инфраструктуры), сети передачи данных через элементы виртуальной или физической инфраструктуры, гостевым операционным системам, виртуальным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машинам (контейнерам), системе и сети репликации, терминальным и виртуальным устройствам, а также системе резервного копирования и создаваемым ею копиям.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8.12. </w:t>
      </w:r>
      <w:hyperlink r:id="rId28" w:anchor="block_11012" w:history="1">
        <w:proofErr w:type="gramStart"/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защите технических средств должны исключать несанкционированный доступ к стационарным техническим средствам, обрабатывающим персональные данные, средствам, обеспечивающим функционирование информационной системы (далее - средства обеспечения функционирования), и в помещения, в которых они постоянно расположены, защиту технических средств от внешних воздействий, а также защиту персональных данных, представленных в виде информативных электрических сигналов и физических полей.</w:t>
      </w:r>
      <w:proofErr w:type="gramEnd"/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8.13. </w:t>
      </w:r>
      <w:hyperlink r:id="rId29" w:anchor="block_11013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защите информационной системы, ее средств,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информационно-телекоммуникационными сетями посредством применения архитектуры информационной системы и проектных решений, направленных на обеспечение безопасности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8.14. </w:t>
      </w:r>
      <w:hyperlink r:id="rId30" w:anchor="block_11014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 выявлению инцидентов и реагированию на них должны обеспечивать обнаружение, идентификацию, анализ инцидентов в информационной системе, а также принятие мер по устранению и предупреждению инцидентов.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8.15. </w:t>
      </w:r>
      <w:hyperlink r:id="rId31" w:anchor="block_11015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Меры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 по управлению конфигурацией информационной системы и системы защиты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персональных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данных должны обеспечивать управление изменениями конфигурации информационной системы и системы защиты персональных данных, анализ потенциального воздействия планируемых изменений на обеспечение безопасности персональных данных, а также документирование этих изменений.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9. Выбор мер по обеспечению безопасности персональных данных, подлежащих реализации в информационной системе в рамках системы защиты персональных данных, включает: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определение базового набора мер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по обеспечению безопасности персональных данных для установленного уровня защищенности персональных данных в соответствии с базовыми наборами мер по обеспечению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безопасности персональных данных, приведенными в приложении к настоящему документу;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адаптацию базового набора мер по обеспечению безопасности персональных данных с учетом структурно-функциональных характеристик информационной системы, информационных технологий, особенностей функционирования информационной системы (в том числе исключение из базового набора мер, непосредственно связанных с информационными технологиями, не используемыми в информационной системе, или структурно-функциональными характеристиками, не свойственными информационной системе);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уточнение адаптированного базового набора мер по обеспечению безопасности персональных данных с учетом не выбранных ранее мер, приведенных в приложении к настоящему документу, в результате чего </w:t>
      </w:r>
      <w:r w:rsidRPr="00DA1B3F">
        <w:rPr>
          <w:rFonts w:ascii="Times New Roman" w:eastAsia="Times New Roman" w:hAnsi="Times New Roman" w:cs="Times New Roman"/>
          <w:bCs/>
          <w:color w:val="000000"/>
        </w:rPr>
        <w:lastRenderedPageBreak/>
        <w:t>определяются меры по обеспечению безопасности персональных данных, направленные на нейтрализацию всех актуальных угроз безопасности персональных данных для конкретной информационной системы;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дополнение уточненного адаптированного базового набора мер по обеспечению безопасности персональных данных мерами, обеспечивающими выполнение требований к защите персональных данных, установленными иными нормативными правовыми актами в области обеспечения безопасности персональных данных и защиты информации.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10. При невозможности технической реализации отдельных выбранных мер по обеспечению безопасности персональных данных, а также с учетом экономической целесообразности на этапах адаптации базового набора мер и (или) уточнения адаптированного базового набора мер могут разрабатываться иные (компенсирующие) меры, направленные на нейтрализацию актуальных угроз безопасности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11.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В случае определения в соответствии с </w:t>
      </w:r>
      <w:hyperlink r:id="rId32" w:anchor="block_41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Требованиями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к защите персональных при их обработке в информационных системах персональных данных, утвержденными </w:t>
      </w:r>
      <w:hyperlink r:id="rId33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постановлением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Правительства Российской Федерации от 1 ноября 2012 г. N 1119, в качестве актуальных угроз безопасности персональных данных 1-го и 2-го типов дополнительно к мерам по обеспечению безопасности персональных данных, указанным в пункте 8 настоящего документа, могут применяться следующие меры:</w:t>
      </w:r>
      <w:proofErr w:type="gramEnd"/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проверка системного и (или) прикладного программного обеспечения, включая программный код, на отсутствие </w:t>
      </w:r>
      <w:proofErr w:type="spellStart"/>
      <w:r w:rsidRPr="00DA1B3F">
        <w:rPr>
          <w:rFonts w:ascii="Times New Roman" w:eastAsia="Times New Roman" w:hAnsi="Times New Roman" w:cs="Times New Roman"/>
          <w:bCs/>
          <w:color w:val="000000"/>
        </w:rPr>
        <w:t>недекларированных</w:t>
      </w:r>
      <w:proofErr w:type="spell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возможностей с использованием автоматизированных средств и (или) без использования таковых;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тестирование информационной системы на проникновения;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использование в информационной системе системного и (или) прикладного программного обеспечения, разработанного с использованием методов защищенного программирования.</w:t>
      </w:r>
    </w:p>
    <w:p w:rsidR="00DA1B3F" w:rsidRPr="00DA1B3F" w:rsidRDefault="00DA1B3F" w:rsidP="00DA1B3F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Cs/>
          <w:color w:val="464C55"/>
        </w:rPr>
      </w:pPr>
      <w:r w:rsidRPr="00DA1B3F">
        <w:rPr>
          <w:rFonts w:ascii="Times New Roman" w:eastAsia="Times New Roman" w:hAnsi="Times New Roman" w:cs="Times New Roman"/>
          <w:bCs/>
          <w:color w:val="464C55"/>
        </w:rPr>
        <w:t>Информация об изменениях:</w:t>
      </w:r>
    </w:p>
    <w:p w:rsidR="00DA1B3F" w:rsidRPr="00DA1B3F" w:rsidRDefault="00DA1B3F" w:rsidP="00DA1B3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bCs/>
          <w:color w:val="464C55"/>
        </w:rPr>
      </w:pPr>
      <w:hyperlink r:id="rId34" w:anchor="block_1001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Приказом</w:t>
        </w:r>
      </w:hyperlink>
      <w:r w:rsidRPr="00DA1B3F">
        <w:rPr>
          <w:rFonts w:ascii="Times New Roman" w:eastAsia="Times New Roman" w:hAnsi="Times New Roman" w:cs="Times New Roman"/>
          <w:bCs/>
          <w:color w:val="464C55"/>
        </w:rPr>
        <w:t> ФСТЭК России от 23 марта 2017 г. N 49 пункт 12 изложен в новой редакции</w:t>
      </w:r>
    </w:p>
    <w:p w:rsidR="00DA1B3F" w:rsidRPr="00DA1B3F" w:rsidRDefault="00DA1B3F" w:rsidP="00DA1B3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</w:rPr>
      </w:pPr>
      <w:hyperlink r:id="rId35" w:anchor="block_1012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См. текст пункта в предыдущей редакции</w:t>
        </w:r>
      </w:hyperlink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12. Технические меры защиты персональных данных реализуются посредством применения средств защиты информации, в том числе программных (программно-аппаратных) средств, в которых они реализованы, имеющих необходимые функции безопасности.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При использовании в информационных </w:t>
      </w: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>системах</w:t>
      </w:r>
      <w:proofErr w:type="gram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сертифицированных по требованиям безопасности информации средств защиты информации: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в информационных системах 1 уровня защищенности персональных данных применяются средства защиты информации не ниже 4 класса, а также средства вычислительной техники не ниже 5 класса;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в информационных системах 2 уровня защищенности персональных данных применяются средства защиты информации не ниже 5 класса, а также средства вычислительной техники не ниже 5 класса;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в информационных системах 3 уровня защищенности персональных данных применяются средства защиты информации не ниже 6 класса, а также средства вычислительной техники не ниже 5 класса;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в информационных системах 4 уровня защищенности персональных данных применяются средства защиты информации не ниже 6 класса, а также средства вычислительной техники не ниже 6 класса.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Классы защиты определяются в соответствии с нормативными правовыми актами, изданными в соответствии с </w:t>
      </w:r>
      <w:hyperlink r:id="rId36" w:anchor="block_108131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подпунктом 13.1 пункта 8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Положения о Федеральной службе по техническому и экспортному контролю, утвержденного </w:t>
      </w:r>
      <w:hyperlink r:id="rId37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Указом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t> Президента Российской Федерации от 16 августа 2004 г. N 1085.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При использовании в информационных системах средств защиты информации, сертифицированных по требованиям безопасности информации, указанные средства должны быть сертифицированы на соответствие обязательным требованиям по безопасности информации, установленным нормативными правовыми актами, или требованиям, указанным в технических условиях (заданиях по безопасности).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Функции безопасности средств защиты информации должны обеспечивать выполнение мер по обеспечению безопасности персональных данных, содержащихся в настоящем документе.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Для обеспечения 1 и 2 уровней защищенности персональных данных, а также для обеспечения 3 уровня защищенности персональных данных в информационных системах, для которых к актуальным отнесены угрозы 2-го типа, применяются сертифицированные средства защиты информации, программное обеспечение которых прошло проверку не ниже чем по 4 уровню контроля отсутствия </w:t>
      </w:r>
      <w:proofErr w:type="spellStart"/>
      <w:r w:rsidRPr="00DA1B3F">
        <w:rPr>
          <w:rFonts w:ascii="Times New Roman" w:eastAsia="Times New Roman" w:hAnsi="Times New Roman" w:cs="Times New Roman"/>
          <w:bCs/>
          <w:color w:val="000000"/>
        </w:rPr>
        <w:t>недекларированных</w:t>
      </w:r>
      <w:proofErr w:type="spellEnd"/>
      <w:r w:rsidRPr="00DA1B3F">
        <w:rPr>
          <w:rFonts w:ascii="Times New Roman" w:eastAsia="Times New Roman" w:hAnsi="Times New Roman" w:cs="Times New Roman"/>
          <w:bCs/>
          <w:color w:val="000000"/>
        </w:rPr>
        <w:t xml:space="preserve"> возможностей.</w:t>
      </w:r>
      <w:proofErr w:type="gramEnd"/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13. При использовании в информационных системах новых информационных технологий и выявлении дополнительных угроз безопасности персональных данных, для которых не определены меры обеспечения их безопасности, должны разрабатываться компенсирующие меры в соответствии с пунктом 10 настоящего документа.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DA1B3F" w:rsidRPr="00DA1B3F" w:rsidRDefault="00DA1B3F" w:rsidP="00DA1B3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Приложение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  <w:t>к </w:t>
      </w:r>
      <w:hyperlink r:id="rId38" w:anchor="block_1000" w:history="1">
        <w:r w:rsidRPr="00DA1B3F">
          <w:rPr>
            <w:rFonts w:ascii="Times New Roman" w:eastAsia="Times New Roman" w:hAnsi="Times New Roman" w:cs="Times New Roman"/>
            <w:bCs/>
            <w:color w:val="3272C0"/>
            <w:u w:val="single"/>
          </w:rPr>
          <w:t>Составу и содержанию</w:t>
        </w:r>
      </w:hyperlink>
      <w:r w:rsidRPr="00DA1B3F">
        <w:rPr>
          <w:rFonts w:ascii="Times New Roman" w:eastAsia="Times New Roman" w:hAnsi="Times New Roman" w:cs="Times New Roman"/>
          <w:bCs/>
          <w:color w:val="000000"/>
        </w:rPr>
        <w:br/>
        <w:t>организационных и технических мер по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</w:r>
      <w:r w:rsidRPr="00DA1B3F">
        <w:rPr>
          <w:rFonts w:ascii="Times New Roman" w:eastAsia="Times New Roman" w:hAnsi="Times New Roman" w:cs="Times New Roman"/>
          <w:bCs/>
          <w:color w:val="000000"/>
        </w:rPr>
        <w:lastRenderedPageBreak/>
        <w:t>обеспечению безопасности персональных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  <w:t>данных при их обработке в информационных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  <w:t>системах персональных данных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br/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Состав и содержание </w:t>
      </w:r>
      <w:r w:rsidRPr="00DA1B3F">
        <w:rPr>
          <w:rFonts w:ascii="Times New Roman" w:eastAsia="Times New Roman" w:hAnsi="Times New Roman" w:cs="Times New Roman"/>
          <w:bCs/>
          <w:color w:val="000000"/>
        </w:rPr>
        <w:br/>
        <w:t>мер по обеспечению безопасности персональных данных, необходимых для обеспечения каждого из уровней защищенности персональных данных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1473"/>
        <w:gridCol w:w="6394"/>
        <w:gridCol w:w="527"/>
        <w:gridCol w:w="602"/>
        <w:gridCol w:w="527"/>
        <w:gridCol w:w="662"/>
      </w:tblGrid>
      <w:tr w:rsidR="00DA1B3F" w:rsidRPr="00DA1B3F" w:rsidTr="00DA1B3F"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Условное обозначение и номер меры</w:t>
            </w:r>
          </w:p>
        </w:tc>
        <w:tc>
          <w:tcPr>
            <w:tcW w:w="63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Содержание мер по обеспечению безопасности персональных данных</w:t>
            </w:r>
          </w:p>
        </w:tc>
        <w:tc>
          <w:tcPr>
            <w:tcW w:w="22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Уровни защищенности персональных данных</w:t>
            </w:r>
          </w:p>
        </w:tc>
      </w:tr>
      <w:tr w:rsidR="00DA1B3F" w:rsidRPr="00DA1B3F" w:rsidTr="00DA1B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ИАФ.1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Идентификация и аутентификация пользователей, являющихся работниками оператора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ИАФ.2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Идентификация и аутентификация устройств, в том числе стационарных, мобильных и портативных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ИАФ.3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ИАФ.4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ИАФ.5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Защита обратной связи при вводе </w:t>
            </w:r>
            <w:proofErr w:type="spellStart"/>
            <w:r w:rsidRPr="00DA1B3F">
              <w:rPr>
                <w:rFonts w:ascii="Times New Roman" w:eastAsia="Times New Roman" w:hAnsi="Times New Roman" w:cs="Times New Roman"/>
              </w:rPr>
              <w:t>аутентификационной</w:t>
            </w:r>
            <w:proofErr w:type="spellEnd"/>
            <w:r w:rsidRPr="00DA1B3F">
              <w:rPr>
                <w:rFonts w:ascii="Times New Roman" w:eastAsia="Times New Roman" w:hAnsi="Times New Roman" w:cs="Times New Roman"/>
              </w:rPr>
              <w:t xml:space="preserve"> информации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ИАФ.6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II. Управление доступом субъектов доступа к объектам доступа (УПД)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Предупреждение пользователя при его входе в информационную систему о том, что в информационной системе реализованы меры по обеспечению безопасности персональных данных, и о необходимости соблюдения установленных оператором правил обработки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УПД.8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Оповещение пользователя после успешного входа в информационную систему о его предыдущем входе в информационную систему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УПД.9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Ограничение числа параллельных сеансов доступа для каждой учетной записи пользователя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УПД.10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Блокирование сеанса </w:t>
            </w:r>
            <w:proofErr w:type="gramStart"/>
            <w:r w:rsidRPr="00DA1B3F">
              <w:rPr>
                <w:rFonts w:ascii="Times New Roman" w:eastAsia="Times New Roman" w:hAnsi="Times New Roman" w:cs="Times New Roman"/>
              </w:rPr>
              <w:t>доступа</w:t>
            </w:r>
            <w:proofErr w:type="gramEnd"/>
            <w:r w:rsidRPr="00DA1B3F">
              <w:rPr>
                <w:rFonts w:ascii="Times New Roman" w:eastAsia="Times New Roman" w:hAnsi="Times New Roman" w:cs="Times New Roman"/>
              </w:rPr>
              <w:t xml:space="preserve"> в информационную систему после установленного времени бездействия (неактивности) пользователя или по его запросу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lastRenderedPageBreak/>
              <w:t>УПД.11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Разрешение (запрет) действий пользователей, разрешенных до идентификац</w:t>
            </w:r>
            <w:proofErr w:type="gramStart"/>
            <w:r w:rsidRPr="00DA1B3F">
              <w:rPr>
                <w:rFonts w:ascii="Times New Roman" w:eastAsia="Times New Roman" w:hAnsi="Times New Roman" w:cs="Times New Roman"/>
              </w:rPr>
              <w:t>ии и ау</w:t>
            </w:r>
            <w:proofErr w:type="gramEnd"/>
            <w:r w:rsidRPr="00DA1B3F">
              <w:rPr>
                <w:rFonts w:ascii="Times New Roman" w:eastAsia="Times New Roman" w:hAnsi="Times New Roman" w:cs="Times New Roman"/>
              </w:rPr>
              <w:t>тентификации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Поддержка и сохранение атрибутов безопасности (меток безопасности), связанных с информацией в процессе ее хранения и обработки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УПД.17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Обеспечение доверенной загрузки средств вычислительной техники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III. Ограничение программной среды (ОПС)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ОПС.1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Управление запуском (обращениями) компонентов программного обеспечения, в том числе определение запускаемых компонентов, настройка параметров запуска компонентов, </w:t>
            </w:r>
            <w:proofErr w:type="gramStart"/>
            <w:r w:rsidRPr="00DA1B3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DA1B3F">
              <w:rPr>
                <w:rFonts w:ascii="Times New Roman" w:eastAsia="Times New Roman" w:hAnsi="Times New Roman" w:cs="Times New Roman"/>
              </w:rPr>
              <w:t xml:space="preserve"> запуском компонентов программного обеспечения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ОПС.2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Управление установкой (инсталляцией) компонентов программного обеспечения, в том числе определение компонентов, подлежащих установке, настройка параметров установки компонентов, </w:t>
            </w:r>
            <w:proofErr w:type="gramStart"/>
            <w:r w:rsidRPr="00DA1B3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DA1B3F">
              <w:rPr>
                <w:rFonts w:ascii="Times New Roman" w:eastAsia="Times New Roman" w:hAnsi="Times New Roman" w:cs="Times New Roman"/>
              </w:rPr>
              <w:t xml:space="preserve"> установкой компонентов программного обеспечения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ОПС.3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Установка (инсталляция) только разрешенного к использованию программного обеспечения и (или) его компонентов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ОПС.4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временными файлами, в том числе запрет, разрешение, перенаправление записи, удаление временных файлов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IV. Защита машинных носителей персональных данных (ЗНИ)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Учет машинных носителей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доступом к машинным носителям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перемещения машинных носителей персональных данных за пределы контролируемой зоны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Исключение возможности несанкционированного ознакомления с содержанием персональных данных, хранящихся на машинных носителях, и (или) использования носителей персональных данных в иных информационных системах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использования интерфейсов ввода (вывода) информации на машинные носители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ввода (вывода) информации на машинные носители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подключения машинных носителей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ЗНИ.8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Уничтожение (стирание) или обезличивание персональных данных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 или обезличивания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V. Регистрация событий безопасности (РСБ)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РСБ.1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Определение событий безопасности, подлежащих регистрации, и сроков их хранения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РСБ.2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РСБ.3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Сбор, запись и хранение информации о событиях безопасности в течение установленного времени хранения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РСБ.4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</w:t>
            </w:r>
            <w:r w:rsidRPr="00DA1B3F">
              <w:rPr>
                <w:rFonts w:ascii="Times New Roman" w:eastAsia="Times New Roman" w:hAnsi="Times New Roman" w:cs="Times New Roman"/>
              </w:rPr>
              <w:lastRenderedPageBreak/>
              <w:t>объема (емкости) памяти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lastRenderedPageBreak/>
              <w:t>РСБ.5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Мониторинг (просмотр, анализ) результатов регистрации событий безопасности и реагирование на них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РСБ.6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Генерирование временных меток и (или) синхронизация системного времени в информационной системе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РСБ.7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Защита информации о событиях безопасности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VI. Антивирусная защита (АВЗ)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АВЗ.1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Реализация антивирусной защиты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АВЗ.2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Обновление базы данных признаков вредоносных компьютерных программ (вирусов)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VII. Обнаружение вторжений (СОВ)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СОВ.1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Обнаружение вторжений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СОВ.2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Обновление базы решающих правил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VIII. Контроль (анализ) защищенности персональных данных (АНЗ)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АНЗ.1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Выявление, анализ уязвимостей информационной системы и оперативное устранение вновь выявленных уязвимостей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АНЗ.2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установки обновлений программного обеспечения, включая обновление программного обеспечения средств защиты информации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АНЗ.3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АНЗ.4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АНЗ.5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доступа, полномочий пользователей в информационной системе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A1B3F">
              <w:rPr>
                <w:rFonts w:ascii="Times New Roman" w:eastAsia="Times New Roman" w:hAnsi="Times New Roman" w:cs="Times New Roman"/>
              </w:rPr>
              <w:t>I</w:t>
            </w:r>
            <w:proofErr w:type="gramEnd"/>
            <w:r w:rsidRPr="00DA1B3F">
              <w:rPr>
                <w:rFonts w:ascii="Times New Roman" w:eastAsia="Times New Roman" w:hAnsi="Times New Roman" w:cs="Times New Roman"/>
              </w:rPr>
              <w:t>Х. Обеспечение целостности информационной системы и персональных данных (ОЦЛ)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целостности программного обеспечения, включая программное обеспечение средств защиты информации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целостности персональных данных, содержащихся в базах данных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Обнаружение и реагирование на поступление в информационную систему незапрашиваемых электронных сообщений (писем, документов) и иной информации, не относящихся к функционированию информационной системы (защита от спама)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Контроль содержания информации, передаваемой из информационной системы (контейнерный, основанный на свойствах объекта доступа, и (или) </w:t>
            </w:r>
            <w:proofErr w:type="spellStart"/>
            <w:r w:rsidRPr="00DA1B3F">
              <w:rPr>
                <w:rFonts w:ascii="Times New Roman" w:eastAsia="Times New Roman" w:hAnsi="Times New Roman" w:cs="Times New Roman"/>
              </w:rPr>
              <w:t>контентный</w:t>
            </w:r>
            <w:proofErr w:type="spellEnd"/>
            <w:r w:rsidRPr="00DA1B3F">
              <w:rPr>
                <w:rFonts w:ascii="Times New Roman" w:eastAsia="Times New Roman" w:hAnsi="Times New Roman" w:cs="Times New Roman"/>
              </w:rPr>
              <w:t>, основанный на поиске запрещенной к передаче информации с использованием сигнатур, масок и иных методов), и исключение неправомерной передачи информации из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Ограничение прав пользователей по вводу информации в информационную систему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точности, полноты и правильности данных, вводимых в информационную систему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ОЦЛ.8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ошибочных действий пользователей по вводу и (или) передаче персональных данных и предупреждение пользователей об ошибочных действиях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X. Обеспечение доступности персональных данных (ОДТ)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ОДТ.1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Использование отказоустойчивых технических средств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ОДТ.2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Резервирование технических средств, программного обеспечения, каналов передачи информации, средств обеспечения функционирования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ОДТ.3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Контроль безотказного функционирования технических средств, </w:t>
            </w:r>
            <w:r w:rsidRPr="00DA1B3F">
              <w:rPr>
                <w:rFonts w:ascii="Times New Roman" w:eastAsia="Times New Roman" w:hAnsi="Times New Roman" w:cs="Times New Roman"/>
              </w:rPr>
              <w:lastRenderedPageBreak/>
              <w:t>обнаружение и локализация отказов функционирования, принятие мер по восстановлению отказавших средств и их тестирование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lastRenderedPageBreak/>
              <w:t>ОДТ.4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Периодическое резервное копирование персональных данных на резервные машинные носители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ОДТ.5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Обеспечение возможности восстановления персональных данных с резервных машинных носителей персональных данных (резервных копий) в течение установленного временного интервала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XI. Защита среды виртуализации (ЗСВ)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доступом субъектов доступа к объектам доступа в виртуальной инфраструктуре, в том числе внутри виртуальных машин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Регистрация событий безопасности в виртуальной инфраструктуре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(фильтрация, маршрутизация, контроль соединения, однонаправленная передача) потоками информации между компонентами виртуальной инфраструктуры, а также по периметру виртуальной инфраструктуры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Доверенная загрузка серверов виртуализации, виртуальной машины (контейнера), серверов управления виртуализацией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перемещением виртуальных машин (контейнеров) и обрабатываемых на них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целостности виртуальной инфраструктуры и ее конфигураций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ЗСВ.8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Резервное копирование данных, резервирование технических средств, программного обеспечения виртуальной инфраструктуры, а также каналов связи внутри виртуальной инфраструктуры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ЗСВ.9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Реализация и управление антивирусной защитой в виртуальной инфраструктуре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ЗСВ.10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Разбиение виртуальной инфраструктуры на сегменты (сегментирование виртуальной инфраструктуры) для обработки персональных данных отдельным пользователем и (или) группой пользователей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XII. Защита технических средств (ЗТС)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ЗТС.1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Защита информации, обрабатываемой техническими средствами, от ее утечки по техническим каналам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ЗТС.2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Организация контролируемой зоны,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ЗТС.3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системы, в помещения и сооружения, в которых они установлены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ЗТС.4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ЗТС.5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Защита от внешних воздействий (воздействий окружающей среды, нестабильности электроснабжения, кондиционирования и иных внешних факторов)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XIII. Защита информационной системы, ее средств, систем связи и передачи данных (ЗИС)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Разделение в информационной системе функций по управлению (администрированию) информационной системой, управлению (администрированию) системой защиты персональных данных, функций по обработке персональных данных и иных функций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lastRenderedPageBreak/>
              <w:t>ЗИС.2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Предотвращение задержки или прерывания выполнения процессов с высоким приоритетом со стороны процессов с низким приоритетом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Обеспечение защиты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Обеспечение доверенных канала, маршрута между администратором, пользователем и средствами защиты информации (функциями безопасности средств защиты информации)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Передача и контроль целостности атрибутов безопасности (меток безопасности), связанных с персональными данными, при обмене ими с иными информационными системами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санкционированного и исключение несанкционированного использования технологий мобильного кода, в том числе регистрация событий, связанных с использованием технологий мобильного кода, их анализ и реагирование на нарушения, связанные с использованием технологий мобильного кода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ЗИС.8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санкционированного и исключение несанкционированного использования технологий передачи речи, в том числе регистрация событий, связанных с использованием технологий передачи речи, их анализ и реагирование на нарушения, связанные с использованием технологий передачи речи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ЗИС.9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Контроль санкционированной и исключение несанкционированной передачи видеоинформации, в том числе регистрация событий, связанных с передачей видеоинформации, их анализ и реагирование на нарушения, связанные с передачей видеоинформации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ЗИС.10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Подтверждение происхождения источника информации, получаемой в процессе определения сетевых адресов по сетевым именам или определения сетевых имен по сетевым адресам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Обеспечение подлинности сетевых соединений (сеансов взаимодействия), в том числе для защиты от подмены сетевых устройств и сервисов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Исключение возможности отрицания пользователем факта отправки персональных данных другому пользователю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Исключение возможности отрицания пользователем факта получения персональных данных от другого пользователя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Использование устройств терминального доступа для обработки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Выявление, анализ и блокирование в информационной системе скрытых каналов передачи информации в обход реализованных мер или внутри разрешенных сетевых протоколов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ЗИС.17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Разбиение информационной системы на сегменты (сегментирование информационной системы) и обеспечение защиты периметров сегментов информационной системы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ЗИС.18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 xml:space="preserve">Обеспечение загрузки и исполнения программного обеспечения с машинных носителей персональных данных, доступных только </w:t>
            </w:r>
            <w:r w:rsidRPr="00DA1B3F">
              <w:rPr>
                <w:rFonts w:ascii="Times New Roman" w:eastAsia="Times New Roman" w:hAnsi="Times New Roman" w:cs="Times New Roman"/>
              </w:rPr>
              <w:lastRenderedPageBreak/>
              <w:t>для чтения, и контроль целостности данного программного обеспечения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lastRenderedPageBreak/>
              <w:t>ЗИС.19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Изоляция процессов (выполнение программ) в выделенной области памяти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ЗИС.20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Защита беспроводных соединений, применяемых в информационной системе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XIV. Выявление инцидентов и реагирование на них (ИНЦ)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ИНЦ.1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Определение лиц, ответственных за выявление инцидентов и реагирование на них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ИНЦ.2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Обнаружение, идентификация и регистрация инцидентов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ИНЦ.3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Своевременное информирование лиц, ответственных за выявление инцидентов и реагирование на них, о возникновении инцидентов в информационной системе пользователями и администраторами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ИНЦ.4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Анализ инцидентов, в том числе определение источников и причин возникновения инцидентов, а также оценка их последствий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ИНЦ.5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Принятие мер по устранению последствий инцидентов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ИНЦ.6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Планирование и принятие мер по предотвращению повторного возникновения инцидентов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01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XV. Управление конфигурацией информационной системы и системы защиты персональных данных (УКФ)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УКФ.1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Определение лиц, которым разрешены действия по внесению изменений в конфигурацию информационной системы и системы защиты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УКФ.2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Управление изменениями конфигурации информационной системы и системы защиты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УКФ.3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(работником), ответственным за обеспечение безопасности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A1B3F" w:rsidRPr="00DA1B3F" w:rsidTr="00DA1B3F"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УКФ.4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Документирование информации (данных) об изменениях в конфигурации информационной системы и системы защиты персональных данных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A1B3F" w:rsidRPr="00DA1B3F" w:rsidRDefault="00DA1B3F" w:rsidP="00D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B3F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br/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"+" - мера по обеспечению безопасности персональных данных включена в базовый набор мер для соответствующего уровня защищенности персональных данных.</w:t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br/>
      </w:r>
    </w:p>
    <w:p w:rsidR="00DA1B3F" w:rsidRPr="00DA1B3F" w:rsidRDefault="00DA1B3F" w:rsidP="00DA1B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A1B3F">
        <w:rPr>
          <w:rFonts w:ascii="Times New Roman" w:eastAsia="Times New Roman" w:hAnsi="Times New Roman" w:cs="Times New Roman"/>
          <w:bCs/>
          <w:color w:val="000000"/>
        </w:rPr>
        <w:t>Меры по обеспечению безопасности персональных данных, не обозначенные знаком "+", применяются при адаптации базового набора мер и уточнении адаптированного базового набора мер, а также при разработке компенсирующих мер по обеспечению безопасности персональных данных.</w:t>
      </w:r>
    </w:p>
    <w:p w:rsidR="00B76AEC" w:rsidRDefault="00DA1B3F" w:rsidP="00DA1B3F">
      <w:r w:rsidRPr="00DA1B3F">
        <w:rPr>
          <w:rFonts w:ascii="Arial" w:eastAsia="Times New Roman" w:hAnsi="Arial" w:cs="Arial"/>
          <w:b/>
          <w:bCs/>
          <w:color w:val="000000"/>
        </w:rPr>
        <w:br/>
      </w:r>
      <w:r w:rsidRPr="00DA1B3F">
        <w:rPr>
          <w:rFonts w:ascii="Arial" w:eastAsia="Times New Roman" w:hAnsi="Arial" w:cs="Arial"/>
          <w:b/>
          <w:bCs/>
          <w:color w:val="000000"/>
        </w:rPr>
        <w:br/>
      </w:r>
    </w:p>
    <w:sectPr w:rsidR="00B76AEC" w:rsidSect="00DA1B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FE4"/>
    <w:multiLevelType w:val="multilevel"/>
    <w:tmpl w:val="308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A1B3F"/>
    <w:rsid w:val="00B76AEC"/>
    <w:rsid w:val="00DA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A1B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B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A1B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D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1B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1B3F"/>
    <w:rPr>
      <w:color w:val="800080"/>
      <w:u w:val="single"/>
    </w:rPr>
  </w:style>
  <w:style w:type="character" w:customStyle="1" w:styleId="apple-converted-space">
    <w:name w:val="apple-converted-space"/>
    <w:basedOn w:val="a0"/>
    <w:rsid w:val="00DA1B3F"/>
  </w:style>
  <w:style w:type="paragraph" w:customStyle="1" w:styleId="s3">
    <w:name w:val="s_3"/>
    <w:basedOn w:val="a"/>
    <w:rsid w:val="00D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D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A1B3F"/>
  </w:style>
  <w:style w:type="paragraph" w:styleId="a5">
    <w:name w:val="Balloon Text"/>
    <w:basedOn w:val="a"/>
    <w:link w:val="a6"/>
    <w:uiPriority w:val="99"/>
    <w:semiHidden/>
    <w:unhideWhenUsed/>
    <w:rsid w:val="00DA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447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9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80924/" TargetMode="External"/><Relationship Id="rId13" Type="http://schemas.openxmlformats.org/officeDocument/2006/relationships/hyperlink" Target="http://base.garant.ru/70252506/" TargetMode="External"/><Relationship Id="rId18" Type="http://schemas.openxmlformats.org/officeDocument/2006/relationships/hyperlink" Target="http://base.garant.ru/70380924/" TargetMode="External"/><Relationship Id="rId26" Type="http://schemas.openxmlformats.org/officeDocument/2006/relationships/hyperlink" Target="http://base.garant.ru/70380924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380924/" TargetMode="External"/><Relationship Id="rId34" Type="http://schemas.openxmlformats.org/officeDocument/2006/relationships/hyperlink" Target="http://base.garant.ru/71664266/" TargetMode="External"/><Relationship Id="rId7" Type="http://schemas.openxmlformats.org/officeDocument/2006/relationships/hyperlink" Target="http://base.garant.ru/12136635/" TargetMode="External"/><Relationship Id="rId12" Type="http://schemas.openxmlformats.org/officeDocument/2006/relationships/hyperlink" Target="http://base.garant.ru/70252506/" TargetMode="External"/><Relationship Id="rId17" Type="http://schemas.openxmlformats.org/officeDocument/2006/relationships/hyperlink" Target="http://base.garant.ru/70380924/" TargetMode="External"/><Relationship Id="rId25" Type="http://schemas.openxmlformats.org/officeDocument/2006/relationships/hyperlink" Target="http://base.garant.ru/70380924/" TargetMode="External"/><Relationship Id="rId33" Type="http://schemas.openxmlformats.org/officeDocument/2006/relationships/hyperlink" Target="http://base.garant.ru/70252506/" TargetMode="External"/><Relationship Id="rId38" Type="http://schemas.openxmlformats.org/officeDocument/2006/relationships/hyperlink" Target="http://base.garant.ru/703809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48555/" TargetMode="External"/><Relationship Id="rId20" Type="http://schemas.openxmlformats.org/officeDocument/2006/relationships/hyperlink" Target="http://base.garant.ru/70380924/" TargetMode="External"/><Relationship Id="rId29" Type="http://schemas.openxmlformats.org/officeDocument/2006/relationships/hyperlink" Target="http://base.garant.ru/703809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6635/" TargetMode="External"/><Relationship Id="rId11" Type="http://schemas.openxmlformats.org/officeDocument/2006/relationships/hyperlink" Target="http://base.garant.ru/12148567/4/" TargetMode="External"/><Relationship Id="rId24" Type="http://schemas.openxmlformats.org/officeDocument/2006/relationships/hyperlink" Target="http://base.garant.ru/70380924/" TargetMode="External"/><Relationship Id="rId32" Type="http://schemas.openxmlformats.org/officeDocument/2006/relationships/hyperlink" Target="http://base.garant.ru/70252506/" TargetMode="External"/><Relationship Id="rId37" Type="http://schemas.openxmlformats.org/officeDocument/2006/relationships/hyperlink" Target="http://base.garant.ru/12136635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ase.garant.ru/12148567/4/" TargetMode="External"/><Relationship Id="rId15" Type="http://schemas.openxmlformats.org/officeDocument/2006/relationships/hyperlink" Target="http://base.garant.ru/70252506/" TargetMode="External"/><Relationship Id="rId23" Type="http://schemas.openxmlformats.org/officeDocument/2006/relationships/hyperlink" Target="http://base.garant.ru/70380924/" TargetMode="External"/><Relationship Id="rId28" Type="http://schemas.openxmlformats.org/officeDocument/2006/relationships/hyperlink" Target="http://base.garant.ru/70380924/" TargetMode="External"/><Relationship Id="rId36" Type="http://schemas.openxmlformats.org/officeDocument/2006/relationships/hyperlink" Target="http://base.garant.ru/12136635/" TargetMode="External"/><Relationship Id="rId10" Type="http://schemas.openxmlformats.org/officeDocument/2006/relationships/hyperlink" Target="http://base.garant.ru/70380924/" TargetMode="External"/><Relationship Id="rId19" Type="http://schemas.openxmlformats.org/officeDocument/2006/relationships/hyperlink" Target="http://base.garant.ru/70380924/" TargetMode="External"/><Relationship Id="rId31" Type="http://schemas.openxmlformats.org/officeDocument/2006/relationships/hyperlink" Target="http://base.garant.ru/703809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3511/" TargetMode="External"/><Relationship Id="rId14" Type="http://schemas.openxmlformats.org/officeDocument/2006/relationships/hyperlink" Target="http://base.garant.ru/70252506/" TargetMode="External"/><Relationship Id="rId22" Type="http://schemas.openxmlformats.org/officeDocument/2006/relationships/hyperlink" Target="http://base.garant.ru/70380924/" TargetMode="External"/><Relationship Id="rId27" Type="http://schemas.openxmlformats.org/officeDocument/2006/relationships/hyperlink" Target="http://base.garant.ru/70380924/" TargetMode="External"/><Relationship Id="rId30" Type="http://schemas.openxmlformats.org/officeDocument/2006/relationships/hyperlink" Target="http://base.garant.ru/70380924/" TargetMode="External"/><Relationship Id="rId35" Type="http://schemas.openxmlformats.org/officeDocument/2006/relationships/hyperlink" Target="http://base.garant.ru/57419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5769</Words>
  <Characters>32889</Characters>
  <Application>Microsoft Office Word</Application>
  <DocSecurity>0</DocSecurity>
  <Lines>274</Lines>
  <Paragraphs>77</Paragraphs>
  <ScaleCrop>false</ScaleCrop>
  <Company>WIN7XP</Company>
  <LinksUpToDate>false</LinksUpToDate>
  <CharactersWithSpaces>38581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2017-12-06T06:51:00Z</dcterms:created>
  <dcterms:modified xsi:type="dcterms:W3CDTF">2017-12-06T06:51:00Z</dcterms:modified>
</cp:coreProperties>
</file>